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177D26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177D26">
            <w:rPr>
              <w:rFonts w:ascii="Tahoma" w:eastAsia="Calibri" w:hAnsi="Tahoma" w:cs="Tahoma"/>
              <w:noProof/>
              <w:sz w:val="19"/>
              <w:szCs w:val="19"/>
            </w:rPr>
            <w:t>3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77D26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2429CB-EC80-462C-B8AE-EA8AD23723D0}"/>
</file>

<file path=customXml/itemProps2.xml><?xml version="1.0" encoding="utf-8"?>
<ds:datastoreItem xmlns:ds="http://schemas.openxmlformats.org/officeDocument/2006/customXml" ds:itemID="{CE0695C9-EF5E-493E-B0BB-2EEC632FC451}"/>
</file>

<file path=customXml/itemProps3.xml><?xml version="1.0" encoding="utf-8"?>
<ds:datastoreItem xmlns:ds="http://schemas.openxmlformats.org/officeDocument/2006/customXml" ds:itemID="{04A9CFDB-3764-4961-993F-ADABB9D1D2CB}"/>
</file>

<file path=customXml/itemProps4.xml><?xml version="1.0" encoding="utf-8"?>
<ds:datastoreItem xmlns:ds="http://schemas.openxmlformats.org/officeDocument/2006/customXml" ds:itemID="{6BA97BED-D69B-417B-BAF0-F97CF50A0D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Alexandra Myles (Inviso)</cp:lastModifiedBy>
  <cp:revision>26</cp:revision>
  <dcterms:created xsi:type="dcterms:W3CDTF">2012-07-03T08:20:00Z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